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438D" w14:textId="77777777" w:rsidR="003000CC" w:rsidRPr="00B775A4" w:rsidRDefault="003000CC">
      <w:pPr>
        <w:pStyle w:val="BodyText"/>
        <w:rPr>
          <w:b/>
        </w:rPr>
      </w:pPr>
    </w:p>
    <w:p w14:paraId="4D3E7367" w14:textId="77777777" w:rsidR="003000CC" w:rsidRPr="0022110C" w:rsidRDefault="00480DBE">
      <w:pPr>
        <w:pStyle w:val="BodyText"/>
        <w:spacing w:before="90"/>
        <w:ind w:left="120"/>
        <w:rPr>
          <w:b/>
          <w:bCs/>
        </w:rPr>
      </w:pPr>
      <w:r w:rsidRPr="0022110C">
        <w:rPr>
          <w:b/>
          <w:bCs/>
          <w:u w:val="single"/>
        </w:rPr>
        <w:t>PURPOSE</w:t>
      </w:r>
      <w:r w:rsidRPr="0022110C">
        <w:rPr>
          <w:b/>
          <w:bCs/>
        </w:rPr>
        <w:t>:</w:t>
      </w:r>
    </w:p>
    <w:p w14:paraId="6FDE27EF" w14:textId="77777777" w:rsidR="003000CC" w:rsidRPr="00B775A4" w:rsidRDefault="003000CC">
      <w:pPr>
        <w:pStyle w:val="BodyText"/>
        <w:spacing w:before="11"/>
      </w:pPr>
    </w:p>
    <w:p w14:paraId="38AEDCC8" w14:textId="51CE9D2A" w:rsidR="003000CC" w:rsidRPr="00B775A4" w:rsidRDefault="00480DBE" w:rsidP="00CB2D75">
      <w:pPr>
        <w:pStyle w:val="BodyText"/>
        <w:tabs>
          <w:tab w:val="left" w:pos="8691"/>
        </w:tabs>
        <w:ind w:firstLine="720"/>
        <w:jc w:val="both"/>
      </w:pPr>
      <w:r w:rsidRPr="00B775A4">
        <w:t>The purpose of this tariff is to</w:t>
      </w:r>
      <w:r w:rsidRPr="00B775A4">
        <w:rPr>
          <w:spacing w:val="-16"/>
        </w:rPr>
        <w:t xml:space="preserve"> </w:t>
      </w:r>
      <w:r w:rsidRPr="00B775A4">
        <w:t>protect</w:t>
      </w:r>
      <w:r w:rsidRPr="00B775A4">
        <w:rPr>
          <w:spacing w:val="-1"/>
        </w:rPr>
        <w:t xml:space="preserve"> </w:t>
      </w:r>
      <w:sdt>
        <w:sdtPr>
          <w:rPr>
            <w:b/>
            <w:bCs/>
          </w:rPr>
          <w:id w:val="-1893259252"/>
          <w:placeholder>
            <w:docPart w:val="9A2E417AD4F644A69D05918DF58EAFC3"/>
          </w:placeholder>
          <w:showingPlcHdr/>
        </w:sdtPr>
        <w:sdtContent>
          <w:r w:rsidR="00CB2D75" w:rsidRPr="00B775A4">
            <w:rPr>
              <w:rStyle w:val="PlaceholderText"/>
              <w:highlight w:val="lightGray"/>
            </w:rPr>
            <w:t>Enter Utility Name</w:t>
          </w:r>
        </w:sdtContent>
      </w:sdt>
      <w:r w:rsidR="00CB2D75" w:rsidRPr="00B775A4">
        <w:rPr>
          <w:b/>
          <w:bCs/>
        </w:rPr>
        <w:t xml:space="preserve"> </w:t>
      </w:r>
      <w:r w:rsidRPr="00B775A4">
        <w:t>(“Company”) water from the possibility of contamination caused by the backflow of contaminants that may be present on the customer’s premises by requiring the installation and periodic testing of backflow-prevention assemblies pursuant to the provisions of the Arizona Administrative Code (“A.A.C</w:t>
      </w:r>
      <w:r w:rsidR="00C96398">
        <w:t>.</w:t>
      </w:r>
      <w:r w:rsidRPr="00B775A4">
        <w:t>") R14-2-405.B.6 and A.A.C.</w:t>
      </w:r>
      <w:r w:rsidRPr="00B775A4">
        <w:rPr>
          <w:spacing w:val="-1"/>
        </w:rPr>
        <w:t xml:space="preserve"> </w:t>
      </w:r>
      <w:r w:rsidRPr="00B775A4">
        <w:t>R18-4-215.</w:t>
      </w:r>
    </w:p>
    <w:p w14:paraId="2758C04C" w14:textId="77777777" w:rsidR="003000CC" w:rsidRPr="00B775A4" w:rsidRDefault="003000CC" w:rsidP="00CB2D75">
      <w:pPr>
        <w:pStyle w:val="BodyText"/>
        <w:ind w:firstLine="720"/>
        <w:jc w:val="both"/>
      </w:pPr>
    </w:p>
    <w:p w14:paraId="12D5DCB5" w14:textId="77777777" w:rsidR="003000CC" w:rsidRPr="00B775A4" w:rsidRDefault="003000CC">
      <w:pPr>
        <w:pStyle w:val="BodyText"/>
      </w:pPr>
    </w:p>
    <w:p w14:paraId="3180CEF7" w14:textId="77777777" w:rsidR="003000CC" w:rsidRPr="0022110C" w:rsidRDefault="00480DBE">
      <w:pPr>
        <w:pStyle w:val="BodyText"/>
        <w:ind w:left="120"/>
        <w:rPr>
          <w:b/>
          <w:bCs/>
        </w:rPr>
      </w:pPr>
      <w:r w:rsidRPr="0022110C">
        <w:rPr>
          <w:b/>
          <w:bCs/>
          <w:u w:val="single"/>
        </w:rPr>
        <w:t>REQUIREMENTS</w:t>
      </w:r>
      <w:r w:rsidRPr="0022110C">
        <w:rPr>
          <w:b/>
          <w:bCs/>
        </w:rPr>
        <w:t>:</w:t>
      </w:r>
    </w:p>
    <w:p w14:paraId="3590B0F3" w14:textId="77777777" w:rsidR="003000CC" w:rsidRPr="00B775A4" w:rsidRDefault="003000CC">
      <w:pPr>
        <w:pStyle w:val="BodyText"/>
      </w:pPr>
    </w:p>
    <w:p w14:paraId="0AE11E3E" w14:textId="77777777" w:rsidR="003000CC" w:rsidRPr="00B775A4" w:rsidRDefault="00480DBE">
      <w:pPr>
        <w:pStyle w:val="BodyText"/>
        <w:ind w:left="119" w:right="117" w:firstLine="720"/>
        <w:jc w:val="both"/>
      </w:pPr>
      <w:r w:rsidRPr="00B775A4">
        <w:t>In compliance with the Rules of the Arizona Corporation Commission (“Commission”) and the Arizona Department of Environmental Quality (“ADEQ”), specifically A.A.C. R14-2-405.B.6 and A.A.C. R18-4-215 relating to backflow prevention:</w:t>
      </w:r>
    </w:p>
    <w:p w14:paraId="7951DA55" w14:textId="77777777" w:rsidR="003000CC" w:rsidRPr="00B775A4" w:rsidRDefault="003000CC">
      <w:pPr>
        <w:pStyle w:val="BodyText"/>
      </w:pPr>
    </w:p>
    <w:p w14:paraId="5431D65B" w14:textId="7A31BB27" w:rsidR="003000CC" w:rsidRPr="00B775A4" w:rsidRDefault="00480DBE">
      <w:pPr>
        <w:pStyle w:val="ListParagraph"/>
        <w:numPr>
          <w:ilvl w:val="1"/>
          <w:numId w:val="1"/>
        </w:numPr>
        <w:tabs>
          <w:tab w:val="left" w:pos="1200"/>
        </w:tabs>
        <w:ind w:right="117"/>
        <w:jc w:val="both"/>
        <w:rPr>
          <w:sz w:val="24"/>
          <w:szCs w:val="24"/>
        </w:rPr>
      </w:pPr>
      <w:r w:rsidRPr="00B775A4">
        <w:rPr>
          <w:sz w:val="24"/>
          <w:szCs w:val="24"/>
        </w:rPr>
        <w:t>The Company may require a customer to pay for and to have installed a backflow-prevention assembly if A.A.C. R18-4-215.B or C</w:t>
      </w:r>
      <w:r w:rsidRPr="00B775A4">
        <w:rPr>
          <w:spacing w:val="-4"/>
          <w:sz w:val="24"/>
          <w:szCs w:val="24"/>
        </w:rPr>
        <w:t xml:space="preserve"> </w:t>
      </w:r>
      <w:r w:rsidRPr="00B775A4">
        <w:rPr>
          <w:sz w:val="24"/>
          <w:szCs w:val="24"/>
        </w:rPr>
        <w:t>applies.</w:t>
      </w:r>
      <w:r w:rsidR="0094597C">
        <w:rPr>
          <w:sz w:val="24"/>
          <w:szCs w:val="24"/>
        </w:rPr>
        <w:t xml:space="preserve">  The Company may also require a customer to pay for and to have installed a backflow prevention assembly for all fire line connections.</w:t>
      </w:r>
    </w:p>
    <w:p w14:paraId="16F9350E" w14:textId="77777777" w:rsidR="003000CC" w:rsidRPr="00B775A4" w:rsidRDefault="003000CC">
      <w:pPr>
        <w:pStyle w:val="BodyText"/>
      </w:pPr>
    </w:p>
    <w:p w14:paraId="71752550" w14:textId="77777777" w:rsidR="003000CC" w:rsidRPr="00B775A4" w:rsidRDefault="00480DBE" w:rsidP="00C96398">
      <w:pPr>
        <w:pStyle w:val="ListParagraph"/>
        <w:numPr>
          <w:ilvl w:val="1"/>
          <w:numId w:val="1"/>
        </w:numPr>
        <w:tabs>
          <w:tab w:val="left" w:pos="1200"/>
        </w:tabs>
        <w:spacing w:before="1"/>
        <w:jc w:val="both"/>
        <w:rPr>
          <w:sz w:val="24"/>
          <w:szCs w:val="24"/>
        </w:rPr>
      </w:pPr>
      <w:r w:rsidRPr="00B775A4">
        <w:rPr>
          <w:sz w:val="24"/>
          <w:szCs w:val="24"/>
        </w:rPr>
        <w:t>A backflow-prevention assembly required to be installed by the</w:t>
      </w:r>
      <w:r w:rsidRPr="00B775A4">
        <w:rPr>
          <w:spacing w:val="23"/>
          <w:sz w:val="24"/>
          <w:szCs w:val="24"/>
        </w:rPr>
        <w:t xml:space="preserve"> </w:t>
      </w:r>
      <w:r w:rsidRPr="00B775A4">
        <w:rPr>
          <w:sz w:val="24"/>
          <w:szCs w:val="24"/>
        </w:rPr>
        <w:t>customer under Paragraph 1 of this tariff shall comply with the requirements set forth</w:t>
      </w:r>
      <w:r w:rsidRPr="00B775A4">
        <w:rPr>
          <w:spacing w:val="34"/>
          <w:sz w:val="24"/>
          <w:szCs w:val="24"/>
        </w:rPr>
        <w:t xml:space="preserve"> </w:t>
      </w:r>
      <w:r w:rsidRPr="00B775A4">
        <w:rPr>
          <w:sz w:val="24"/>
          <w:szCs w:val="24"/>
        </w:rPr>
        <w:t>in</w:t>
      </w:r>
    </w:p>
    <w:p w14:paraId="362555FD" w14:textId="77777777" w:rsidR="003000CC" w:rsidRDefault="00480DBE" w:rsidP="00FC4A8E">
      <w:pPr>
        <w:pStyle w:val="BodyText"/>
        <w:spacing w:line="275" w:lineRule="exact"/>
        <w:ind w:left="1200"/>
        <w:jc w:val="both"/>
      </w:pPr>
      <w:r w:rsidRPr="00B775A4">
        <w:t>A.A.C. R18-4-215.D and E.</w:t>
      </w:r>
    </w:p>
    <w:p w14:paraId="437B6A43" w14:textId="77777777" w:rsidR="0094597C" w:rsidRDefault="0094597C">
      <w:pPr>
        <w:pStyle w:val="BodyText"/>
        <w:spacing w:line="275" w:lineRule="exact"/>
        <w:ind w:left="1200"/>
      </w:pPr>
    </w:p>
    <w:p w14:paraId="58B8F7F1" w14:textId="7E703762" w:rsidR="0094597C" w:rsidRPr="00B775A4" w:rsidRDefault="0094597C" w:rsidP="00FC4A8E">
      <w:pPr>
        <w:pStyle w:val="BodyText"/>
        <w:numPr>
          <w:ilvl w:val="1"/>
          <w:numId w:val="1"/>
        </w:numPr>
        <w:spacing w:line="275" w:lineRule="exact"/>
        <w:jc w:val="both"/>
      </w:pPr>
      <w:r w:rsidRPr="0094597C">
        <w:t xml:space="preserve">Assemblies for domestic and irrigation service must be lead free Reduced Pressure </w:t>
      </w:r>
      <w:proofErr w:type="gramStart"/>
      <w:r w:rsidRPr="0094597C">
        <w:t>Principle</w:t>
      </w:r>
      <w:proofErr w:type="gramEnd"/>
      <w:r w:rsidRPr="0094597C">
        <w:t xml:space="preserve"> assemblies. Lead free Double Check Detector Assemblies are the minimum protection required for class 1 or 2 fire protection systems. Lead free Reduced Pressure </w:t>
      </w:r>
      <w:proofErr w:type="gramStart"/>
      <w:r w:rsidRPr="0094597C">
        <w:t>Principle</w:t>
      </w:r>
      <w:proofErr w:type="gramEnd"/>
      <w:r w:rsidRPr="0094597C">
        <w:t xml:space="preserve"> Detector Assemblies are the minimum protection required for all other fire protection systems.</w:t>
      </w:r>
    </w:p>
    <w:p w14:paraId="5160A25A" w14:textId="77777777" w:rsidR="003000CC" w:rsidRPr="00B775A4" w:rsidRDefault="003000CC">
      <w:pPr>
        <w:pStyle w:val="BodyText"/>
        <w:spacing w:before="11"/>
      </w:pPr>
    </w:p>
    <w:p w14:paraId="03412F90" w14:textId="193841AF" w:rsidR="003000CC" w:rsidRPr="00B775A4" w:rsidRDefault="00480DBE">
      <w:pPr>
        <w:pStyle w:val="ListParagraph"/>
        <w:numPr>
          <w:ilvl w:val="1"/>
          <w:numId w:val="1"/>
        </w:numPr>
        <w:tabs>
          <w:tab w:val="left" w:pos="1200"/>
        </w:tabs>
        <w:jc w:val="both"/>
        <w:rPr>
          <w:sz w:val="24"/>
          <w:szCs w:val="24"/>
        </w:rPr>
      </w:pPr>
      <w:r w:rsidRPr="00B775A4">
        <w:rPr>
          <w:sz w:val="24"/>
          <w:szCs w:val="24"/>
        </w:rPr>
        <w:t xml:space="preserve">Subject to the provisions of A.A.C. R14-2-407 and 410, and in accordance with </w:t>
      </w:r>
      <w:r w:rsidR="00E4455E">
        <w:rPr>
          <w:sz w:val="24"/>
          <w:szCs w:val="24"/>
        </w:rPr>
        <w:t>t</w:t>
      </w:r>
      <w:r w:rsidRPr="00B775A4">
        <w:rPr>
          <w:sz w:val="24"/>
          <w:szCs w:val="24"/>
        </w:rPr>
        <w:t>his tariff, the Company may terminate service or may deny service to a customer who fails to install a backflow-prevention assembly as required by this</w:t>
      </w:r>
      <w:r w:rsidRPr="00B775A4">
        <w:rPr>
          <w:spacing w:val="-1"/>
          <w:sz w:val="24"/>
          <w:szCs w:val="24"/>
        </w:rPr>
        <w:t xml:space="preserve"> </w:t>
      </w:r>
      <w:r w:rsidRPr="00B775A4">
        <w:rPr>
          <w:sz w:val="24"/>
          <w:szCs w:val="24"/>
        </w:rPr>
        <w:t>tariff</w:t>
      </w:r>
      <w:r w:rsidR="00803C2C">
        <w:rPr>
          <w:sz w:val="24"/>
          <w:szCs w:val="24"/>
        </w:rPr>
        <w:t>.</w:t>
      </w:r>
    </w:p>
    <w:p w14:paraId="76CA6B1F" w14:textId="77777777" w:rsidR="003000CC" w:rsidRPr="00B775A4" w:rsidRDefault="003000CC">
      <w:pPr>
        <w:pStyle w:val="BodyText"/>
      </w:pPr>
    </w:p>
    <w:p w14:paraId="6558E989" w14:textId="77777777" w:rsidR="00E4455E" w:rsidRDefault="00480DBE" w:rsidP="00803C2C">
      <w:pPr>
        <w:pStyle w:val="ListParagraph"/>
        <w:numPr>
          <w:ilvl w:val="1"/>
          <w:numId w:val="1"/>
        </w:numPr>
        <w:tabs>
          <w:tab w:val="left" w:pos="1200"/>
        </w:tabs>
        <w:jc w:val="both"/>
        <w:rPr>
          <w:sz w:val="24"/>
          <w:szCs w:val="24"/>
        </w:rPr>
      </w:pPr>
      <w:r w:rsidRPr="00B775A4">
        <w:rPr>
          <w:sz w:val="24"/>
          <w:szCs w:val="24"/>
        </w:rPr>
        <w:t xml:space="preserve">The Company shall give any existing customer who is required to install a backflow-prevention </w:t>
      </w:r>
      <w:proofErr w:type="gramStart"/>
      <w:r w:rsidRPr="00B775A4">
        <w:rPr>
          <w:sz w:val="24"/>
          <w:szCs w:val="24"/>
        </w:rPr>
        <w:t>assembly</w:t>
      </w:r>
      <w:proofErr w:type="gramEnd"/>
      <w:r w:rsidRPr="00B775A4">
        <w:rPr>
          <w:sz w:val="24"/>
          <w:szCs w:val="24"/>
        </w:rPr>
        <w:t xml:space="preserve"> written notice of said requirement. If A.A.C. R14-2-410.B.1.a. is </w:t>
      </w:r>
      <w:r w:rsidRPr="00B775A4">
        <w:rPr>
          <w:b/>
          <w:sz w:val="24"/>
          <w:szCs w:val="24"/>
        </w:rPr>
        <w:t xml:space="preserve">not </w:t>
      </w:r>
      <w:r w:rsidRPr="00B775A4">
        <w:rPr>
          <w:sz w:val="24"/>
          <w:szCs w:val="24"/>
        </w:rPr>
        <w:t xml:space="preserve">applicable, the customer shall be given thirty (30) days from the time such written notice is received in which to comply with this </w:t>
      </w:r>
    </w:p>
    <w:p w14:paraId="1F0417FF" w14:textId="77777777" w:rsidR="00E4455E" w:rsidRPr="00E4455E" w:rsidRDefault="00E4455E" w:rsidP="00FC4A8E">
      <w:pPr>
        <w:pStyle w:val="ListParagraph"/>
        <w:jc w:val="both"/>
        <w:rPr>
          <w:sz w:val="24"/>
          <w:szCs w:val="24"/>
        </w:rPr>
      </w:pPr>
    </w:p>
    <w:p w14:paraId="4E7C6CDD" w14:textId="39B37E18" w:rsidR="003000CC" w:rsidRPr="00B775A4" w:rsidRDefault="00480DBE" w:rsidP="00803C2C">
      <w:pPr>
        <w:pStyle w:val="ListParagraph"/>
        <w:tabs>
          <w:tab w:val="left" w:pos="1200"/>
        </w:tabs>
        <w:ind w:firstLine="0"/>
        <w:jc w:val="both"/>
        <w:rPr>
          <w:sz w:val="24"/>
          <w:szCs w:val="24"/>
        </w:rPr>
      </w:pPr>
      <w:r w:rsidRPr="00B775A4">
        <w:rPr>
          <w:sz w:val="24"/>
          <w:szCs w:val="24"/>
        </w:rPr>
        <w:t xml:space="preserve">notice. If the customer can show good cause as to why </w:t>
      </w:r>
      <w:r w:rsidR="00803C2C">
        <w:rPr>
          <w:sz w:val="24"/>
          <w:szCs w:val="24"/>
        </w:rPr>
        <w:t>t</w:t>
      </w:r>
      <w:r w:rsidRPr="00B775A4">
        <w:rPr>
          <w:sz w:val="24"/>
          <w:szCs w:val="24"/>
        </w:rPr>
        <w:t>he</w:t>
      </w:r>
      <w:r w:rsidR="00803C2C">
        <w:rPr>
          <w:sz w:val="24"/>
          <w:szCs w:val="24"/>
        </w:rPr>
        <w:t>y</w:t>
      </w:r>
      <w:r w:rsidRPr="00B775A4">
        <w:rPr>
          <w:sz w:val="24"/>
          <w:szCs w:val="24"/>
        </w:rPr>
        <w:t xml:space="preserve"> cannot install the backflow-prevention assembly within thirty (30) days, the Company or Commission Staff may suspend this requirement for a</w:t>
      </w:r>
      <w:r w:rsidR="00FC4A8E">
        <w:rPr>
          <w:sz w:val="24"/>
          <w:szCs w:val="24"/>
        </w:rPr>
        <w:t>n additional ninety (90) days.</w:t>
      </w:r>
      <w:r w:rsidRPr="00B775A4">
        <w:rPr>
          <w:sz w:val="24"/>
          <w:szCs w:val="24"/>
        </w:rPr>
        <w:t xml:space="preserve"> </w:t>
      </w:r>
    </w:p>
    <w:p w14:paraId="786431F6" w14:textId="77777777" w:rsidR="00054EA4" w:rsidRDefault="00054EA4">
      <w:pPr>
        <w:jc w:val="both"/>
        <w:rPr>
          <w:sz w:val="24"/>
          <w:szCs w:val="24"/>
        </w:rPr>
      </w:pPr>
    </w:p>
    <w:p w14:paraId="5DFE75EA" w14:textId="77777777" w:rsidR="003000CC" w:rsidRPr="00B775A4" w:rsidRDefault="00480DBE" w:rsidP="00FC4A8E">
      <w:pPr>
        <w:pStyle w:val="ListParagraph"/>
        <w:numPr>
          <w:ilvl w:val="1"/>
          <w:numId w:val="1"/>
        </w:numPr>
        <w:tabs>
          <w:tab w:val="left" w:pos="1200"/>
        </w:tabs>
        <w:spacing w:before="80"/>
        <w:ind w:right="0"/>
        <w:jc w:val="both"/>
        <w:rPr>
          <w:sz w:val="24"/>
          <w:szCs w:val="24"/>
        </w:rPr>
      </w:pPr>
      <w:r w:rsidRPr="00B775A4">
        <w:rPr>
          <w:sz w:val="24"/>
          <w:szCs w:val="24"/>
        </w:rPr>
        <w:t>Testing shall be in conformance with the requirements of A.A.C.</w:t>
      </w:r>
      <w:r w:rsidRPr="00B775A4">
        <w:rPr>
          <w:spacing w:val="31"/>
          <w:sz w:val="24"/>
          <w:szCs w:val="24"/>
        </w:rPr>
        <w:t xml:space="preserve"> </w:t>
      </w:r>
      <w:r w:rsidRPr="00B775A4">
        <w:rPr>
          <w:sz w:val="24"/>
          <w:szCs w:val="24"/>
        </w:rPr>
        <w:t>R18-4-</w:t>
      </w:r>
    </w:p>
    <w:p w14:paraId="05FE8062" w14:textId="133006F5" w:rsidR="003000CC" w:rsidRPr="00B775A4" w:rsidRDefault="00480DBE" w:rsidP="00803C2C">
      <w:pPr>
        <w:pStyle w:val="BodyText"/>
        <w:ind w:left="1200" w:right="115"/>
        <w:jc w:val="both"/>
      </w:pPr>
      <w:r w:rsidRPr="00B775A4">
        <w:t xml:space="preserve">215.F. The Company may require the customer to pay to have the backflow- prevention assembly tested </w:t>
      </w:r>
      <w:r w:rsidR="00803C2C">
        <w:t>so</w:t>
      </w:r>
      <w:r w:rsidRPr="00B775A4">
        <w:t xml:space="preserve"> long as the Company does not require </w:t>
      </w:r>
      <w:r w:rsidR="00FC4A8E">
        <w:t xml:space="preserve">more than two (2) tests per </w:t>
      </w:r>
      <w:proofErr w:type="gramStart"/>
      <w:r w:rsidR="00FC4A8E">
        <w:t>year.</w:t>
      </w:r>
      <w:r w:rsidRPr="00B775A4">
        <w:t>.</w:t>
      </w:r>
      <w:proofErr w:type="gramEnd"/>
      <w:r w:rsidR="00054EA4">
        <w:t xml:space="preserve">  </w:t>
      </w:r>
      <w:r w:rsidR="00054EA4" w:rsidRPr="00054EA4">
        <w:t>Testing on backflow assemblies intended for permanent placement can only occur through permanent plumbing.</w:t>
      </w:r>
    </w:p>
    <w:p w14:paraId="0F8FD212" w14:textId="77777777" w:rsidR="003000CC" w:rsidRPr="00B775A4" w:rsidRDefault="003000CC">
      <w:pPr>
        <w:pStyle w:val="BodyText"/>
        <w:spacing w:before="11"/>
      </w:pPr>
    </w:p>
    <w:p w14:paraId="1B7AC54C" w14:textId="58EDD964" w:rsidR="003000CC" w:rsidRPr="00B775A4" w:rsidRDefault="00480DBE">
      <w:pPr>
        <w:pStyle w:val="ListParagraph"/>
        <w:numPr>
          <w:ilvl w:val="1"/>
          <w:numId w:val="1"/>
        </w:numPr>
        <w:tabs>
          <w:tab w:val="left" w:pos="1200"/>
        </w:tabs>
        <w:ind w:right="117"/>
        <w:jc w:val="both"/>
        <w:rPr>
          <w:sz w:val="24"/>
          <w:szCs w:val="24"/>
        </w:rPr>
      </w:pPr>
      <w:r w:rsidRPr="00B775A4">
        <w:rPr>
          <w:sz w:val="24"/>
          <w:szCs w:val="24"/>
        </w:rPr>
        <w:t>The customer shall provide the Company with records of installation and testing</w:t>
      </w:r>
      <w:r w:rsidR="00054EA4">
        <w:rPr>
          <w:sz w:val="24"/>
          <w:szCs w:val="24"/>
        </w:rPr>
        <w:t xml:space="preserve"> </w:t>
      </w:r>
      <w:r w:rsidR="00054EA4" w:rsidRPr="00054EA4">
        <w:rPr>
          <w:sz w:val="24"/>
          <w:szCs w:val="24"/>
        </w:rPr>
        <w:t>within ten (10) days of such work and in the manner prescribed by the Company for submission of records.</w:t>
      </w:r>
      <w:r w:rsidRPr="00B775A4">
        <w:rPr>
          <w:sz w:val="24"/>
          <w:szCs w:val="24"/>
        </w:rPr>
        <w:t xml:space="preserve"> For each backflow-prevention assembly, these records shall</w:t>
      </w:r>
      <w:r w:rsidRPr="00B775A4">
        <w:rPr>
          <w:spacing w:val="-17"/>
          <w:sz w:val="24"/>
          <w:szCs w:val="24"/>
        </w:rPr>
        <w:t xml:space="preserve"> </w:t>
      </w:r>
      <w:r w:rsidRPr="00B775A4">
        <w:rPr>
          <w:sz w:val="24"/>
          <w:szCs w:val="24"/>
        </w:rPr>
        <w:t>include:</w:t>
      </w:r>
    </w:p>
    <w:p w14:paraId="4FEFB665" w14:textId="77777777" w:rsidR="003000CC" w:rsidRPr="00B775A4" w:rsidRDefault="003000CC">
      <w:pPr>
        <w:pStyle w:val="BodyText"/>
      </w:pPr>
    </w:p>
    <w:p w14:paraId="3A352CF7" w14:textId="77777777" w:rsidR="003000CC" w:rsidRPr="00B775A4" w:rsidRDefault="00480DBE">
      <w:pPr>
        <w:pStyle w:val="ListParagraph"/>
        <w:numPr>
          <w:ilvl w:val="2"/>
          <w:numId w:val="1"/>
        </w:numPr>
        <w:tabs>
          <w:tab w:val="left" w:pos="1920"/>
        </w:tabs>
        <w:ind w:right="0"/>
        <w:rPr>
          <w:sz w:val="24"/>
          <w:szCs w:val="24"/>
        </w:rPr>
      </w:pPr>
      <w:r w:rsidRPr="00B775A4">
        <w:rPr>
          <w:sz w:val="24"/>
          <w:szCs w:val="24"/>
        </w:rPr>
        <w:t>assembly identification number and</w:t>
      </w:r>
      <w:r w:rsidRPr="00B775A4">
        <w:rPr>
          <w:spacing w:val="-1"/>
          <w:sz w:val="24"/>
          <w:szCs w:val="24"/>
        </w:rPr>
        <w:t xml:space="preserve"> </w:t>
      </w:r>
      <w:proofErr w:type="gramStart"/>
      <w:r w:rsidRPr="00B775A4">
        <w:rPr>
          <w:sz w:val="24"/>
          <w:szCs w:val="24"/>
        </w:rPr>
        <w:t>description;</w:t>
      </w:r>
      <w:proofErr w:type="gramEnd"/>
    </w:p>
    <w:p w14:paraId="250AC544" w14:textId="7403C642" w:rsidR="003000CC" w:rsidRPr="00B775A4" w:rsidRDefault="00480DBE">
      <w:pPr>
        <w:pStyle w:val="ListParagraph"/>
        <w:numPr>
          <w:ilvl w:val="2"/>
          <w:numId w:val="1"/>
        </w:numPr>
        <w:tabs>
          <w:tab w:val="left" w:pos="1920"/>
        </w:tabs>
        <w:ind w:right="0"/>
        <w:rPr>
          <w:sz w:val="24"/>
          <w:szCs w:val="24"/>
        </w:rPr>
      </w:pPr>
      <w:proofErr w:type="gramStart"/>
      <w:r w:rsidRPr="00B775A4">
        <w:rPr>
          <w:sz w:val="24"/>
          <w:szCs w:val="24"/>
        </w:rPr>
        <w:t>location</w:t>
      </w:r>
      <w:r w:rsidR="00E37980">
        <w:rPr>
          <w:sz w:val="24"/>
          <w:szCs w:val="24"/>
        </w:rPr>
        <w:t>;</w:t>
      </w:r>
      <w:proofErr w:type="gramEnd"/>
    </w:p>
    <w:p w14:paraId="293E8AC3" w14:textId="77777777" w:rsidR="003000CC" w:rsidRPr="00B775A4" w:rsidRDefault="00480DBE">
      <w:pPr>
        <w:pStyle w:val="ListParagraph"/>
        <w:numPr>
          <w:ilvl w:val="2"/>
          <w:numId w:val="1"/>
        </w:numPr>
        <w:tabs>
          <w:tab w:val="left" w:pos="1920"/>
        </w:tabs>
        <w:ind w:right="0"/>
        <w:rPr>
          <w:sz w:val="24"/>
          <w:szCs w:val="24"/>
        </w:rPr>
      </w:pPr>
      <w:r w:rsidRPr="00B775A4">
        <w:rPr>
          <w:sz w:val="24"/>
          <w:szCs w:val="24"/>
        </w:rPr>
        <w:t>date(s) of</w:t>
      </w:r>
      <w:r w:rsidRPr="00B775A4">
        <w:rPr>
          <w:spacing w:val="-1"/>
          <w:sz w:val="24"/>
          <w:szCs w:val="24"/>
        </w:rPr>
        <w:t xml:space="preserve"> </w:t>
      </w:r>
      <w:r w:rsidRPr="00B775A4">
        <w:rPr>
          <w:sz w:val="24"/>
          <w:szCs w:val="24"/>
        </w:rPr>
        <w:t>test(s</w:t>
      </w:r>
      <w:proofErr w:type="gramStart"/>
      <w:r w:rsidRPr="00B775A4">
        <w:rPr>
          <w:sz w:val="24"/>
          <w:szCs w:val="24"/>
        </w:rPr>
        <w:t>);</w:t>
      </w:r>
      <w:proofErr w:type="gramEnd"/>
    </w:p>
    <w:p w14:paraId="5F5E1223" w14:textId="77777777" w:rsidR="003000CC" w:rsidRPr="00B775A4" w:rsidRDefault="00480DBE">
      <w:pPr>
        <w:pStyle w:val="ListParagraph"/>
        <w:numPr>
          <w:ilvl w:val="2"/>
          <w:numId w:val="1"/>
        </w:numPr>
        <w:tabs>
          <w:tab w:val="left" w:pos="1920"/>
        </w:tabs>
        <w:ind w:right="118"/>
        <w:rPr>
          <w:sz w:val="24"/>
          <w:szCs w:val="24"/>
        </w:rPr>
      </w:pPr>
      <w:r w:rsidRPr="00B775A4">
        <w:rPr>
          <w:sz w:val="24"/>
          <w:szCs w:val="24"/>
        </w:rPr>
        <w:t>description of repairs and recommendations for repairs made by tester; and</w:t>
      </w:r>
    </w:p>
    <w:p w14:paraId="36EAA481" w14:textId="77777777" w:rsidR="003000CC" w:rsidRPr="00B775A4" w:rsidRDefault="00480DBE">
      <w:pPr>
        <w:pStyle w:val="ListParagraph"/>
        <w:numPr>
          <w:ilvl w:val="2"/>
          <w:numId w:val="1"/>
        </w:numPr>
        <w:tabs>
          <w:tab w:val="left" w:pos="1920"/>
        </w:tabs>
        <w:ind w:right="0"/>
        <w:rPr>
          <w:sz w:val="24"/>
          <w:szCs w:val="24"/>
        </w:rPr>
      </w:pPr>
      <w:r w:rsidRPr="00B775A4">
        <w:rPr>
          <w:sz w:val="24"/>
          <w:szCs w:val="24"/>
        </w:rPr>
        <w:t>the tester’s name and certificate</w:t>
      </w:r>
      <w:r w:rsidRPr="00B775A4">
        <w:rPr>
          <w:spacing w:val="-1"/>
          <w:sz w:val="24"/>
          <w:szCs w:val="24"/>
        </w:rPr>
        <w:t xml:space="preserve"> </w:t>
      </w:r>
      <w:r w:rsidRPr="00B775A4">
        <w:rPr>
          <w:sz w:val="24"/>
          <w:szCs w:val="24"/>
        </w:rPr>
        <w:t>number.</w:t>
      </w:r>
    </w:p>
    <w:p w14:paraId="62B5AFE5" w14:textId="77777777" w:rsidR="003000CC" w:rsidRPr="00B775A4" w:rsidRDefault="003000CC">
      <w:pPr>
        <w:pStyle w:val="BodyText"/>
      </w:pPr>
    </w:p>
    <w:p w14:paraId="6F29C585" w14:textId="77777777" w:rsidR="003000CC" w:rsidRPr="00B775A4" w:rsidRDefault="00480DBE">
      <w:pPr>
        <w:pStyle w:val="ListParagraph"/>
        <w:numPr>
          <w:ilvl w:val="1"/>
          <w:numId w:val="1"/>
        </w:numPr>
        <w:tabs>
          <w:tab w:val="left" w:pos="1200"/>
        </w:tabs>
        <w:ind w:right="117"/>
        <w:jc w:val="both"/>
        <w:rPr>
          <w:sz w:val="24"/>
          <w:szCs w:val="24"/>
        </w:rPr>
      </w:pPr>
      <w:r w:rsidRPr="00B775A4">
        <w:rPr>
          <w:sz w:val="24"/>
          <w:szCs w:val="24"/>
        </w:rPr>
        <w:t>In the event the backflow-prevention assembly does not function properly or fails</w:t>
      </w:r>
      <w:r w:rsidRPr="00B775A4">
        <w:rPr>
          <w:spacing w:val="32"/>
          <w:sz w:val="24"/>
          <w:szCs w:val="24"/>
        </w:rPr>
        <w:t xml:space="preserve"> </w:t>
      </w:r>
      <w:r w:rsidRPr="00B775A4">
        <w:rPr>
          <w:sz w:val="24"/>
          <w:szCs w:val="24"/>
        </w:rPr>
        <w:t>any</w:t>
      </w:r>
      <w:r w:rsidRPr="00B775A4">
        <w:rPr>
          <w:spacing w:val="33"/>
          <w:sz w:val="24"/>
          <w:szCs w:val="24"/>
        </w:rPr>
        <w:t xml:space="preserve"> </w:t>
      </w:r>
      <w:r w:rsidRPr="00B775A4">
        <w:rPr>
          <w:sz w:val="24"/>
          <w:szCs w:val="24"/>
        </w:rPr>
        <w:t>test,</w:t>
      </w:r>
      <w:r w:rsidRPr="00B775A4">
        <w:rPr>
          <w:spacing w:val="33"/>
          <w:sz w:val="24"/>
          <w:szCs w:val="24"/>
        </w:rPr>
        <w:t xml:space="preserve"> </w:t>
      </w:r>
      <w:r w:rsidRPr="00B775A4">
        <w:rPr>
          <w:sz w:val="24"/>
          <w:szCs w:val="24"/>
        </w:rPr>
        <w:t>and</w:t>
      </w:r>
      <w:r w:rsidRPr="00B775A4">
        <w:rPr>
          <w:spacing w:val="33"/>
          <w:sz w:val="24"/>
          <w:szCs w:val="24"/>
        </w:rPr>
        <w:t xml:space="preserve"> </w:t>
      </w:r>
      <w:r w:rsidRPr="00B775A4">
        <w:rPr>
          <w:sz w:val="24"/>
          <w:szCs w:val="24"/>
        </w:rPr>
        <w:t>an</w:t>
      </w:r>
      <w:r w:rsidRPr="00B775A4">
        <w:rPr>
          <w:spacing w:val="33"/>
          <w:sz w:val="24"/>
          <w:szCs w:val="24"/>
        </w:rPr>
        <w:t xml:space="preserve"> </w:t>
      </w:r>
      <w:r w:rsidRPr="00B775A4">
        <w:rPr>
          <w:sz w:val="24"/>
          <w:szCs w:val="24"/>
        </w:rPr>
        <w:t>obvious</w:t>
      </w:r>
      <w:r w:rsidRPr="00B775A4">
        <w:rPr>
          <w:spacing w:val="32"/>
          <w:sz w:val="24"/>
          <w:szCs w:val="24"/>
        </w:rPr>
        <w:t xml:space="preserve"> </w:t>
      </w:r>
      <w:r w:rsidRPr="00B775A4">
        <w:rPr>
          <w:sz w:val="24"/>
          <w:szCs w:val="24"/>
        </w:rPr>
        <w:t>hazard</w:t>
      </w:r>
      <w:r w:rsidRPr="00B775A4">
        <w:rPr>
          <w:spacing w:val="32"/>
          <w:sz w:val="24"/>
          <w:szCs w:val="24"/>
        </w:rPr>
        <w:t xml:space="preserve"> </w:t>
      </w:r>
      <w:r w:rsidRPr="00B775A4">
        <w:rPr>
          <w:sz w:val="24"/>
          <w:szCs w:val="24"/>
        </w:rPr>
        <w:t>as</w:t>
      </w:r>
      <w:r w:rsidRPr="00B775A4">
        <w:rPr>
          <w:spacing w:val="33"/>
          <w:sz w:val="24"/>
          <w:szCs w:val="24"/>
        </w:rPr>
        <w:t xml:space="preserve"> </w:t>
      </w:r>
      <w:r w:rsidRPr="00B775A4">
        <w:rPr>
          <w:sz w:val="24"/>
          <w:szCs w:val="24"/>
        </w:rPr>
        <w:t>contemplated</w:t>
      </w:r>
      <w:r w:rsidRPr="00B775A4">
        <w:rPr>
          <w:spacing w:val="33"/>
          <w:sz w:val="24"/>
          <w:szCs w:val="24"/>
        </w:rPr>
        <w:t xml:space="preserve"> </w:t>
      </w:r>
      <w:r w:rsidRPr="00B775A4">
        <w:rPr>
          <w:sz w:val="24"/>
          <w:szCs w:val="24"/>
        </w:rPr>
        <w:t>under</w:t>
      </w:r>
      <w:r w:rsidRPr="00B775A4">
        <w:rPr>
          <w:spacing w:val="33"/>
          <w:sz w:val="24"/>
          <w:szCs w:val="24"/>
        </w:rPr>
        <w:t xml:space="preserve"> </w:t>
      </w:r>
      <w:r w:rsidRPr="00B775A4">
        <w:rPr>
          <w:sz w:val="24"/>
          <w:szCs w:val="24"/>
        </w:rPr>
        <w:t>A.A.C.</w:t>
      </w:r>
      <w:r w:rsidRPr="00B775A4">
        <w:rPr>
          <w:spacing w:val="32"/>
          <w:sz w:val="24"/>
          <w:szCs w:val="24"/>
        </w:rPr>
        <w:t xml:space="preserve"> </w:t>
      </w:r>
      <w:r w:rsidRPr="00B775A4">
        <w:rPr>
          <w:sz w:val="24"/>
          <w:szCs w:val="24"/>
        </w:rPr>
        <w:t>R14-2-</w:t>
      </w:r>
    </w:p>
    <w:p w14:paraId="308B7DA6" w14:textId="77777777" w:rsidR="003000CC" w:rsidRPr="00B775A4" w:rsidRDefault="00480DBE">
      <w:pPr>
        <w:pStyle w:val="BodyText"/>
        <w:ind w:left="1199" w:right="118"/>
        <w:jc w:val="both"/>
      </w:pPr>
      <w:r w:rsidRPr="00B775A4">
        <w:t>410.B.1.a. exists, the Company may terminate service immediately and without notice. The backflow-prevention assembly shall be repaired or replaced by the customer and retested.</w:t>
      </w:r>
    </w:p>
    <w:p w14:paraId="7260065E" w14:textId="77777777" w:rsidR="003000CC" w:rsidRPr="00B775A4" w:rsidRDefault="003000CC">
      <w:pPr>
        <w:pStyle w:val="BodyText"/>
      </w:pPr>
    </w:p>
    <w:p w14:paraId="68E145C6" w14:textId="77777777" w:rsidR="003000CC" w:rsidRDefault="00480DBE">
      <w:pPr>
        <w:pStyle w:val="ListParagraph"/>
        <w:numPr>
          <w:ilvl w:val="1"/>
          <w:numId w:val="1"/>
        </w:numPr>
        <w:tabs>
          <w:tab w:val="left" w:pos="1200"/>
        </w:tabs>
        <w:jc w:val="both"/>
        <w:rPr>
          <w:sz w:val="24"/>
          <w:szCs w:val="24"/>
        </w:rPr>
      </w:pPr>
      <w:r w:rsidRPr="00B775A4">
        <w:rPr>
          <w:sz w:val="24"/>
          <w:szCs w:val="24"/>
        </w:rPr>
        <w:t xml:space="preserve">In the event the backflow-prevention assembly does not function properly or fails any test, or in the event that a customer fails to comply with the testing requirement, and A.A.C. R14-2-410.B.1.a. is </w:t>
      </w:r>
      <w:r w:rsidRPr="00B775A4">
        <w:rPr>
          <w:b/>
          <w:sz w:val="24"/>
          <w:szCs w:val="24"/>
        </w:rPr>
        <w:t xml:space="preserve">not </w:t>
      </w:r>
      <w:r w:rsidRPr="00B775A4">
        <w:rPr>
          <w:sz w:val="24"/>
          <w:szCs w:val="24"/>
        </w:rPr>
        <w:t>applicable, the backflow- prevention assembly shall be repaired or replaced within fourteen (14) days of the initial discovery of the deficiency in the assembly or its function. Failure to remedy the deficiency or dysfunction of the assembly, or failure to retest, shall be grounds for termination of water service in accordance with A.A.C. R14-2-410.</w:t>
      </w:r>
    </w:p>
    <w:p w14:paraId="054FBC46" w14:textId="77777777" w:rsidR="005A4644" w:rsidRPr="005A4644" w:rsidRDefault="005A4644" w:rsidP="005A4644"/>
    <w:p w14:paraId="5FC37EE5" w14:textId="77777777" w:rsidR="005A4644" w:rsidRPr="005A4644" w:rsidRDefault="005A4644" w:rsidP="005A4644">
      <w:pPr>
        <w:jc w:val="right"/>
      </w:pPr>
    </w:p>
    <w:sectPr w:rsidR="005A4644" w:rsidRPr="005A4644">
      <w:headerReference w:type="even" r:id="rId7"/>
      <w:headerReference w:type="default" r:id="rId8"/>
      <w:footerReference w:type="even" r:id="rId9"/>
      <w:footerReference w:type="default" r:id="rId10"/>
      <w:headerReference w:type="first" r:id="rId11"/>
      <w:footerReference w:type="first" r:id="rId12"/>
      <w:pgSz w:w="12240" w:h="15840"/>
      <w:pgMar w:top="1340" w:right="1680" w:bottom="2740" w:left="1680" w:header="729" w:footer="2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4BD7" w14:textId="77777777" w:rsidR="006A11B1" w:rsidRDefault="006A11B1">
      <w:r>
        <w:separator/>
      </w:r>
    </w:p>
  </w:endnote>
  <w:endnote w:type="continuationSeparator" w:id="0">
    <w:p w14:paraId="012A3E97" w14:textId="77777777" w:rsidR="006A11B1" w:rsidRDefault="006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4F35" w14:textId="77777777" w:rsidR="00C2743F" w:rsidRDefault="00C27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2B63" w14:textId="037D9048" w:rsidR="005A4644" w:rsidRDefault="005A4644">
    <w:pPr>
      <w:pStyle w:val="Footer"/>
    </w:pPr>
    <w:r>
      <w:t>Revision Date: March 19, 2026</w:t>
    </w:r>
  </w:p>
  <w:p w14:paraId="03F435F7" w14:textId="366801BB" w:rsidR="003000CC" w:rsidRDefault="003000C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EDE3" w14:textId="77777777" w:rsidR="00C2743F" w:rsidRDefault="00C27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9949" w14:textId="77777777" w:rsidR="006A11B1" w:rsidRDefault="006A11B1">
      <w:r>
        <w:separator/>
      </w:r>
    </w:p>
  </w:footnote>
  <w:footnote w:type="continuationSeparator" w:id="0">
    <w:p w14:paraId="4CE3FBE5" w14:textId="77777777" w:rsidR="006A11B1" w:rsidRDefault="006A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593F" w14:textId="77777777" w:rsidR="00C2743F" w:rsidRDefault="00C27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ABE6" w14:textId="7C39E5ED" w:rsidR="00E4455E" w:rsidRPr="00E4455E" w:rsidRDefault="00E4455E" w:rsidP="00E4455E">
    <w:pPr>
      <w:jc w:val="center"/>
      <w:rPr>
        <w:b/>
        <w:sz w:val="24"/>
        <w:szCs w:val="24"/>
      </w:rPr>
    </w:pPr>
    <w:r w:rsidRPr="00E4455E">
      <w:rPr>
        <w:b/>
        <w:sz w:val="24"/>
        <w:szCs w:val="24"/>
      </w:rPr>
      <w:t>CROSS-CONNECTION BACKFLOW PREVENTION TARIFF</w:t>
    </w:r>
  </w:p>
  <w:p w14:paraId="17F4853A" w14:textId="7A071191" w:rsidR="00E4455E" w:rsidRDefault="00E4455E" w:rsidP="00E4455E">
    <w:pPr>
      <w:adjustRightInd w:val="0"/>
      <w:jc w:val="center"/>
      <w:rPr>
        <w:b/>
        <w:bCs/>
        <w:color w:val="000000"/>
        <w:sz w:val="29"/>
        <w:szCs w:val="29"/>
      </w:rPr>
    </w:pPr>
  </w:p>
  <w:p w14:paraId="1AA7C06A" w14:textId="77777777" w:rsidR="00E4455E" w:rsidRDefault="00E4455E" w:rsidP="00E4455E">
    <w:pPr>
      <w:spacing w:before="8"/>
      <w:rPr>
        <w:b/>
        <w:bCs/>
      </w:rPr>
    </w:pPr>
    <w:r w:rsidRPr="0008133E">
      <w:rPr>
        <w:b/>
        <w:szCs w:val="20"/>
      </w:rPr>
      <w:t>Utility</w:t>
    </w:r>
    <w:r w:rsidRPr="009E2D72">
      <w:rPr>
        <w:b/>
        <w:szCs w:val="20"/>
      </w:rPr>
      <w:t xml:space="preserve">: </w:t>
    </w:r>
    <w:sdt>
      <w:sdtPr>
        <w:rPr>
          <w:b/>
          <w:bCs/>
        </w:rPr>
        <w:id w:val="326180041"/>
        <w:placeholder>
          <w:docPart w:val="9C68257EA24E4DF2A95CC4F2E571F746"/>
        </w:placeholder>
        <w:showingPlcHdr/>
      </w:sdtPr>
      <w:sdtContent>
        <w:r>
          <w:rPr>
            <w:rStyle w:val="PlaceholderText"/>
            <w:highlight w:val="lightGray"/>
          </w:rPr>
          <w:t>E</w:t>
        </w:r>
        <w:r w:rsidRPr="00DB6AFF">
          <w:rPr>
            <w:rStyle w:val="PlaceholderText"/>
            <w:highlight w:val="lightGray"/>
          </w:rPr>
          <w:t>nter</w:t>
        </w:r>
        <w:r>
          <w:rPr>
            <w:rStyle w:val="PlaceholderText"/>
            <w:highlight w:val="lightGray"/>
          </w:rPr>
          <w:t xml:space="preserve"> the</w:t>
        </w:r>
        <w:r w:rsidRPr="00DB6AFF">
          <w:rPr>
            <w:rStyle w:val="PlaceholderText"/>
            <w:highlight w:val="lightGray"/>
          </w:rPr>
          <w:t xml:space="preserve"> </w:t>
        </w:r>
        <w:r>
          <w:rPr>
            <w:rStyle w:val="PlaceholderText"/>
            <w:highlight w:val="lightGray"/>
          </w:rPr>
          <w:t>Utility Name</w:t>
        </w:r>
      </w:sdtContent>
    </w:sdt>
    <w:r>
      <w:rPr>
        <w:u w:color="000000"/>
      </w:rPr>
      <w:t xml:space="preserve"> </w:t>
    </w:r>
    <w:r>
      <w:rPr>
        <w:u w:color="000000"/>
      </w:rPr>
      <w:tab/>
      <w:t xml:space="preserve"> </w:t>
    </w:r>
    <w:r>
      <w:rPr>
        <w:b/>
        <w:szCs w:val="20"/>
      </w:rPr>
      <w:t xml:space="preserve">   </w:t>
    </w:r>
    <w:r>
      <w:rPr>
        <w:b/>
        <w:szCs w:val="20"/>
      </w:rPr>
      <w:tab/>
    </w:r>
    <w:r>
      <w:rPr>
        <w:b/>
        <w:szCs w:val="20"/>
      </w:rPr>
      <w:tab/>
    </w:r>
    <w:r w:rsidRPr="007933C3">
      <w:rPr>
        <w:b/>
        <w:szCs w:val="20"/>
      </w:rPr>
      <w:t xml:space="preserve">Decision No. </w:t>
    </w:r>
    <w:sdt>
      <w:sdtPr>
        <w:rPr>
          <w:b/>
          <w:bCs/>
        </w:rPr>
        <w:id w:val="1561125513"/>
        <w:placeholder>
          <w:docPart w:val="E27D16D4AE2A4A6C900A2DF5701D4DA1"/>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decision number</w:t>
        </w:r>
      </w:sdtContent>
    </w:sdt>
  </w:p>
  <w:p w14:paraId="308D5AC8" w14:textId="77777777" w:rsidR="00E4455E" w:rsidRDefault="00E4455E" w:rsidP="00E4455E">
    <w:pPr>
      <w:spacing w:before="8"/>
      <w:rPr>
        <w:b/>
        <w:bCs/>
      </w:rPr>
    </w:pPr>
    <w:r w:rsidRPr="007933C3">
      <w:rPr>
        <w:b/>
        <w:szCs w:val="20"/>
      </w:rPr>
      <w:t xml:space="preserve">Docket No.: </w:t>
    </w:r>
    <w:sdt>
      <w:sdtPr>
        <w:rPr>
          <w:b/>
          <w:bCs/>
        </w:rPr>
        <w:id w:val="-688918284"/>
        <w:placeholder>
          <w:docPart w:val="20E30377B800482CBFCAD65800D02B50"/>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docket number</w:t>
        </w:r>
      </w:sdtContent>
    </w:sdt>
    <w:r w:rsidRPr="0008133E">
      <w:rPr>
        <w:szCs w:val="20"/>
      </w:rPr>
      <w:tab/>
    </w:r>
    <w:r>
      <w:rPr>
        <w:szCs w:val="20"/>
      </w:rPr>
      <w:tab/>
    </w:r>
    <w:r w:rsidRPr="009E2D72">
      <w:rPr>
        <w:b/>
        <w:szCs w:val="20"/>
      </w:rPr>
      <w:t xml:space="preserve">Effective Date: </w:t>
    </w:r>
    <w:sdt>
      <w:sdtPr>
        <w:rPr>
          <w:b/>
          <w:bCs/>
        </w:rPr>
        <w:id w:val="1484892817"/>
        <w:placeholder>
          <w:docPart w:val="647343969AAE40B1AF4982088292F903"/>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effective date</w:t>
        </w:r>
      </w:sdtContent>
    </w:sdt>
  </w:p>
  <w:p w14:paraId="4BF5B5F9" w14:textId="6D0177B7" w:rsidR="003000CC" w:rsidRDefault="003000C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1A7F" w14:textId="77777777" w:rsidR="00C2743F" w:rsidRDefault="00C27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13204"/>
    <w:multiLevelType w:val="hybridMultilevel"/>
    <w:tmpl w:val="FDB49D6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519C2177"/>
    <w:multiLevelType w:val="hybridMultilevel"/>
    <w:tmpl w:val="2BEC4DA8"/>
    <w:lvl w:ilvl="0" w:tplc="A868080E">
      <w:start w:val="1"/>
      <w:numFmt w:val="decimal"/>
      <w:lvlText w:val="%1."/>
      <w:lvlJc w:val="left"/>
      <w:pPr>
        <w:ind w:left="840" w:hanging="360"/>
      </w:pPr>
      <w:rPr>
        <w:rFonts w:ascii="Times New Roman" w:eastAsia="Times New Roman" w:hAnsi="Times New Roman" w:cs="Times New Roman" w:hint="default"/>
        <w:spacing w:val="-2"/>
        <w:w w:val="99"/>
        <w:sz w:val="24"/>
        <w:szCs w:val="24"/>
      </w:rPr>
    </w:lvl>
    <w:lvl w:ilvl="1" w:tplc="7452EA26">
      <w:start w:val="1"/>
      <w:numFmt w:val="decimal"/>
      <w:lvlText w:val="%2."/>
      <w:lvlJc w:val="left"/>
      <w:pPr>
        <w:ind w:left="1200" w:hanging="360"/>
      </w:pPr>
      <w:rPr>
        <w:rFonts w:ascii="Times New Roman" w:eastAsia="Times New Roman" w:hAnsi="Times New Roman" w:cs="Times New Roman" w:hint="default"/>
        <w:spacing w:val="-9"/>
        <w:w w:val="99"/>
        <w:sz w:val="24"/>
        <w:szCs w:val="24"/>
      </w:rPr>
    </w:lvl>
    <w:lvl w:ilvl="2" w:tplc="3FC0FFE6">
      <w:start w:val="1"/>
      <w:numFmt w:val="lowerLetter"/>
      <w:lvlText w:val="%3."/>
      <w:lvlJc w:val="left"/>
      <w:pPr>
        <w:ind w:left="1920" w:hanging="360"/>
      </w:pPr>
      <w:rPr>
        <w:rFonts w:ascii="Times New Roman" w:eastAsia="Times New Roman" w:hAnsi="Times New Roman" w:cs="Times New Roman" w:hint="default"/>
        <w:spacing w:val="-2"/>
        <w:w w:val="99"/>
        <w:sz w:val="24"/>
        <w:szCs w:val="24"/>
      </w:rPr>
    </w:lvl>
    <w:lvl w:ilvl="3" w:tplc="BAC24EDC">
      <w:numFmt w:val="bullet"/>
      <w:lvlText w:val="•"/>
      <w:lvlJc w:val="left"/>
      <w:pPr>
        <w:ind w:left="2790" w:hanging="360"/>
      </w:pPr>
      <w:rPr>
        <w:rFonts w:hint="default"/>
      </w:rPr>
    </w:lvl>
    <w:lvl w:ilvl="4" w:tplc="DAAEC420">
      <w:numFmt w:val="bullet"/>
      <w:lvlText w:val="•"/>
      <w:lvlJc w:val="left"/>
      <w:pPr>
        <w:ind w:left="3660" w:hanging="360"/>
      </w:pPr>
      <w:rPr>
        <w:rFonts w:hint="default"/>
      </w:rPr>
    </w:lvl>
    <w:lvl w:ilvl="5" w:tplc="77B0FF4A">
      <w:numFmt w:val="bullet"/>
      <w:lvlText w:val="•"/>
      <w:lvlJc w:val="left"/>
      <w:pPr>
        <w:ind w:left="4530" w:hanging="360"/>
      </w:pPr>
      <w:rPr>
        <w:rFonts w:hint="default"/>
      </w:rPr>
    </w:lvl>
    <w:lvl w:ilvl="6" w:tplc="4F6AEE08">
      <w:numFmt w:val="bullet"/>
      <w:lvlText w:val="•"/>
      <w:lvlJc w:val="left"/>
      <w:pPr>
        <w:ind w:left="5400" w:hanging="360"/>
      </w:pPr>
      <w:rPr>
        <w:rFonts w:hint="default"/>
      </w:rPr>
    </w:lvl>
    <w:lvl w:ilvl="7" w:tplc="698CB6B0">
      <w:numFmt w:val="bullet"/>
      <w:lvlText w:val="•"/>
      <w:lvlJc w:val="left"/>
      <w:pPr>
        <w:ind w:left="6270" w:hanging="360"/>
      </w:pPr>
      <w:rPr>
        <w:rFonts w:hint="default"/>
      </w:rPr>
    </w:lvl>
    <w:lvl w:ilvl="8" w:tplc="262828D0">
      <w:numFmt w:val="bullet"/>
      <w:lvlText w:val="•"/>
      <w:lvlJc w:val="left"/>
      <w:pPr>
        <w:ind w:left="7140" w:hanging="360"/>
      </w:pPr>
      <w:rPr>
        <w:rFonts w:hint="default"/>
      </w:rPr>
    </w:lvl>
  </w:abstractNum>
  <w:abstractNum w:abstractNumId="2" w15:restartNumberingAfterBreak="0">
    <w:nsid w:val="6498775E"/>
    <w:multiLevelType w:val="hybridMultilevel"/>
    <w:tmpl w:val="4AA06EC4"/>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470737">
    <w:abstractNumId w:val="1"/>
  </w:num>
  <w:num w:numId="2" w16cid:durableId="320279151">
    <w:abstractNumId w:val="2"/>
  </w:num>
  <w:num w:numId="3" w16cid:durableId="35025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CC"/>
    <w:rsid w:val="00025CAC"/>
    <w:rsid w:val="000420F9"/>
    <w:rsid w:val="00054EA4"/>
    <w:rsid w:val="000667EA"/>
    <w:rsid w:val="000959E6"/>
    <w:rsid w:val="000F3BC8"/>
    <w:rsid w:val="00100ABD"/>
    <w:rsid w:val="00136F1A"/>
    <w:rsid w:val="00216880"/>
    <w:rsid w:val="0022110C"/>
    <w:rsid w:val="00275140"/>
    <w:rsid w:val="002C5301"/>
    <w:rsid w:val="003000CC"/>
    <w:rsid w:val="00396064"/>
    <w:rsid w:val="003F58D4"/>
    <w:rsid w:val="00480DBE"/>
    <w:rsid w:val="004A0223"/>
    <w:rsid w:val="004F4618"/>
    <w:rsid w:val="00526282"/>
    <w:rsid w:val="005A0BBD"/>
    <w:rsid w:val="005A4644"/>
    <w:rsid w:val="0061406C"/>
    <w:rsid w:val="006A11B1"/>
    <w:rsid w:val="007057E6"/>
    <w:rsid w:val="00745FDE"/>
    <w:rsid w:val="007B7D22"/>
    <w:rsid w:val="00803C2C"/>
    <w:rsid w:val="00806B0E"/>
    <w:rsid w:val="00820C41"/>
    <w:rsid w:val="008802A4"/>
    <w:rsid w:val="00894BAD"/>
    <w:rsid w:val="00904A10"/>
    <w:rsid w:val="00934E30"/>
    <w:rsid w:val="0094597C"/>
    <w:rsid w:val="00947485"/>
    <w:rsid w:val="00A06440"/>
    <w:rsid w:val="00A25374"/>
    <w:rsid w:val="00A63429"/>
    <w:rsid w:val="00A81CA6"/>
    <w:rsid w:val="00A94201"/>
    <w:rsid w:val="00B74322"/>
    <w:rsid w:val="00B775A4"/>
    <w:rsid w:val="00BD1A22"/>
    <w:rsid w:val="00C02426"/>
    <w:rsid w:val="00C2743F"/>
    <w:rsid w:val="00C777AA"/>
    <w:rsid w:val="00C8503D"/>
    <w:rsid w:val="00C96398"/>
    <w:rsid w:val="00CB2D75"/>
    <w:rsid w:val="00CD7A62"/>
    <w:rsid w:val="00D6135C"/>
    <w:rsid w:val="00DF6508"/>
    <w:rsid w:val="00E27E61"/>
    <w:rsid w:val="00E37980"/>
    <w:rsid w:val="00E4455E"/>
    <w:rsid w:val="00ED5A7E"/>
    <w:rsid w:val="00F43EED"/>
    <w:rsid w:val="00F44056"/>
    <w:rsid w:val="00FC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A6F0"/>
  <w15:docId w15:val="{53970DCE-982B-4781-9542-CAC2453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ind w:left="20"/>
      <w:outlineLvl w:val="0"/>
    </w:pPr>
    <w:rPr>
      <w:b/>
      <w:bCs/>
      <w:sz w:val="28"/>
      <w:szCs w:val="28"/>
    </w:rPr>
  </w:style>
  <w:style w:type="paragraph" w:styleId="Heading2">
    <w:name w:val="heading 2"/>
    <w:basedOn w:val="Normal"/>
    <w:uiPriority w:val="9"/>
    <w:unhideWhenUsed/>
    <w:qFormat/>
    <w:pPr>
      <w:ind w:left="17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116"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B2D75"/>
    <w:rPr>
      <w:color w:val="808080"/>
    </w:rPr>
  </w:style>
  <w:style w:type="paragraph" w:styleId="Header">
    <w:name w:val="header"/>
    <w:basedOn w:val="Normal"/>
    <w:link w:val="HeaderChar"/>
    <w:uiPriority w:val="99"/>
    <w:unhideWhenUsed/>
    <w:rsid w:val="00CB2D75"/>
    <w:pPr>
      <w:tabs>
        <w:tab w:val="center" w:pos="4680"/>
        <w:tab w:val="right" w:pos="9360"/>
      </w:tabs>
    </w:pPr>
  </w:style>
  <w:style w:type="character" w:customStyle="1" w:styleId="HeaderChar">
    <w:name w:val="Header Char"/>
    <w:basedOn w:val="DefaultParagraphFont"/>
    <w:link w:val="Header"/>
    <w:uiPriority w:val="99"/>
    <w:rsid w:val="00CB2D75"/>
    <w:rPr>
      <w:rFonts w:ascii="Times New Roman" w:eastAsia="Times New Roman" w:hAnsi="Times New Roman" w:cs="Times New Roman"/>
    </w:rPr>
  </w:style>
  <w:style w:type="paragraph" w:styleId="Footer">
    <w:name w:val="footer"/>
    <w:basedOn w:val="Normal"/>
    <w:link w:val="FooterChar"/>
    <w:uiPriority w:val="99"/>
    <w:unhideWhenUsed/>
    <w:rsid w:val="00CB2D75"/>
    <w:pPr>
      <w:tabs>
        <w:tab w:val="center" w:pos="4680"/>
        <w:tab w:val="right" w:pos="9360"/>
      </w:tabs>
    </w:pPr>
  </w:style>
  <w:style w:type="character" w:customStyle="1" w:styleId="FooterChar">
    <w:name w:val="Footer Char"/>
    <w:basedOn w:val="DefaultParagraphFont"/>
    <w:link w:val="Footer"/>
    <w:uiPriority w:val="99"/>
    <w:rsid w:val="00CB2D75"/>
    <w:rPr>
      <w:rFonts w:ascii="Times New Roman" w:eastAsia="Times New Roman" w:hAnsi="Times New Roman" w:cs="Times New Roman"/>
    </w:rPr>
  </w:style>
  <w:style w:type="paragraph" w:styleId="Revision">
    <w:name w:val="Revision"/>
    <w:hidden/>
    <w:uiPriority w:val="99"/>
    <w:semiHidden/>
    <w:rsid w:val="0094597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8503D"/>
    <w:rPr>
      <w:sz w:val="16"/>
      <w:szCs w:val="16"/>
    </w:rPr>
  </w:style>
  <w:style w:type="paragraph" w:styleId="CommentText">
    <w:name w:val="annotation text"/>
    <w:basedOn w:val="Normal"/>
    <w:link w:val="CommentTextChar"/>
    <w:uiPriority w:val="99"/>
    <w:unhideWhenUsed/>
    <w:rsid w:val="00C8503D"/>
    <w:rPr>
      <w:sz w:val="20"/>
      <w:szCs w:val="20"/>
    </w:rPr>
  </w:style>
  <w:style w:type="character" w:customStyle="1" w:styleId="CommentTextChar">
    <w:name w:val="Comment Text Char"/>
    <w:basedOn w:val="DefaultParagraphFont"/>
    <w:link w:val="CommentText"/>
    <w:uiPriority w:val="99"/>
    <w:rsid w:val="00C85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03D"/>
    <w:rPr>
      <w:b/>
      <w:bCs/>
    </w:rPr>
  </w:style>
  <w:style w:type="character" w:customStyle="1" w:styleId="CommentSubjectChar">
    <w:name w:val="Comment Subject Char"/>
    <w:basedOn w:val="CommentTextChar"/>
    <w:link w:val="CommentSubject"/>
    <w:uiPriority w:val="99"/>
    <w:semiHidden/>
    <w:rsid w:val="00C850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E417AD4F644A69D05918DF58EAFC3"/>
        <w:category>
          <w:name w:val="General"/>
          <w:gallery w:val="placeholder"/>
        </w:category>
        <w:types>
          <w:type w:val="bbPlcHdr"/>
        </w:types>
        <w:behaviors>
          <w:behavior w:val="content"/>
        </w:behaviors>
        <w:guid w:val="{38AAAF85-00E4-4CC6-9197-A938B43FB400}"/>
      </w:docPartPr>
      <w:docPartBody>
        <w:p w:rsidR="001063CB" w:rsidRDefault="00D000BC" w:rsidP="00D000BC">
          <w:pPr>
            <w:pStyle w:val="9A2E417AD4F644A69D05918DF58EAFC3"/>
          </w:pPr>
          <w:r w:rsidRPr="000F46E8">
            <w:rPr>
              <w:rStyle w:val="PlaceholderText"/>
              <w:rFonts w:ascii="Times New Roman" w:hAnsi="Times New Roman" w:cs="Times New Roman"/>
              <w:sz w:val="24"/>
              <w:szCs w:val="24"/>
              <w:highlight w:val="lightGray"/>
            </w:rPr>
            <w:t>Enter Utility Name</w:t>
          </w:r>
        </w:p>
      </w:docPartBody>
    </w:docPart>
    <w:docPart>
      <w:docPartPr>
        <w:name w:val="9C68257EA24E4DF2A95CC4F2E571F746"/>
        <w:category>
          <w:name w:val="General"/>
          <w:gallery w:val="placeholder"/>
        </w:category>
        <w:types>
          <w:type w:val="bbPlcHdr"/>
        </w:types>
        <w:behaviors>
          <w:behavior w:val="content"/>
        </w:behaviors>
        <w:guid w:val="{3D53BB35-5343-4CEB-9C73-83C4D0DEB859}"/>
      </w:docPartPr>
      <w:docPartBody>
        <w:p w:rsidR="00161B03" w:rsidRDefault="00F56F68" w:rsidP="00F56F68">
          <w:pPr>
            <w:pStyle w:val="9C68257EA24E4DF2A95CC4F2E571F746"/>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nter</w:t>
          </w:r>
          <w:r>
            <w:rPr>
              <w:rStyle w:val="PlaceholderText"/>
              <w:rFonts w:ascii="Times New Roman" w:hAnsi="Times New Roman" w:cs="Times New Roman"/>
              <w:highlight w:val="lightGray"/>
            </w:rPr>
            <w:t xml:space="preserve"> the</w:t>
          </w:r>
          <w:r w:rsidRPr="00DB6AFF">
            <w:rPr>
              <w:rStyle w:val="PlaceholderText"/>
              <w:rFonts w:ascii="Times New Roman" w:hAnsi="Times New Roman" w:cs="Times New Roman"/>
              <w:highlight w:val="lightGray"/>
            </w:rPr>
            <w:t xml:space="preserve"> </w:t>
          </w:r>
          <w:r>
            <w:rPr>
              <w:rStyle w:val="PlaceholderText"/>
              <w:rFonts w:ascii="Times New Roman" w:hAnsi="Times New Roman" w:cs="Times New Roman"/>
              <w:highlight w:val="lightGray"/>
            </w:rPr>
            <w:t>Utility Name</w:t>
          </w:r>
        </w:p>
      </w:docPartBody>
    </w:docPart>
    <w:docPart>
      <w:docPartPr>
        <w:name w:val="E27D16D4AE2A4A6C900A2DF5701D4DA1"/>
        <w:category>
          <w:name w:val="General"/>
          <w:gallery w:val="placeholder"/>
        </w:category>
        <w:types>
          <w:type w:val="bbPlcHdr"/>
        </w:types>
        <w:behaviors>
          <w:behavior w:val="content"/>
        </w:behaviors>
        <w:guid w:val="{EB41D473-5E7A-4170-88AE-D59435BEA4C5}"/>
      </w:docPartPr>
      <w:docPartBody>
        <w:p w:rsidR="00161B03" w:rsidRDefault="00F56F68" w:rsidP="00F56F68">
          <w:pPr>
            <w:pStyle w:val="E27D16D4AE2A4A6C900A2DF5701D4DA1"/>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decision number</w:t>
          </w:r>
        </w:p>
      </w:docPartBody>
    </w:docPart>
    <w:docPart>
      <w:docPartPr>
        <w:name w:val="20E30377B800482CBFCAD65800D02B50"/>
        <w:category>
          <w:name w:val="General"/>
          <w:gallery w:val="placeholder"/>
        </w:category>
        <w:types>
          <w:type w:val="bbPlcHdr"/>
        </w:types>
        <w:behaviors>
          <w:behavior w:val="content"/>
        </w:behaviors>
        <w:guid w:val="{7330EEEF-346B-472D-87A2-59EDB129AB1D}"/>
      </w:docPartPr>
      <w:docPartBody>
        <w:p w:rsidR="00161B03" w:rsidRDefault="00F56F68" w:rsidP="00F56F68">
          <w:pPr>
            <w:pStyle w:val="20E30377B800482CBFCAD65800D02B50"/>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docket number</w:t>
          </w:r>
        </w:p>
      </w:docPartBody>
    </w:docPart>
    <w:docPart>
      <w:docPartPr>
        <w:name w:val="647343969AAE40B1AF4982088292F903"/>
        <w:category>
          <w:name w:val="General"/>
          <w:gallery w:val="placeholder"/>
        </w:category>
        <w:types>
          <w:type w:val="bbPlcHdr"/>
        </w:types>
        <w:behaviors>
          <w:behavior w:val="content"/>
        </w:behaviors>
        <w:guid w:val="{9FB02ACA-77F5-4D8C-B33C-0A0CB3E2EB17}"/>
      </w:docPartPr>
      <w:docPartBody>
        <w:p w:rsidR="00161B03" w:rsidRDefault="00F56F68" w:rsidP="00F56F68">
          <w:pPr>
            <w:pStyle w:val="647343969AAE40B1AF4982088292F903"/>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BC"/>
    <w:rsid w:val="000F3BC8"/>
    <w:rsid w:val="00100ABD"/>
    <w:rsid w:val="001063CB"/>
    <w:rsid w:val="00161B03"/>
    <w:rsid w:val="002727D0"/>
    <w:rsid w:val="003F01D9"/>
    <w:rsid w:val="00482B81"/>
    <w:rsid w:val="004B4E0A"/>
    <w:rsid w:val="004E7FFC"/>
    <w:rsid w:val="00526282"/>
    <w:rsid w:val="005A0BBD"/>
    <w:rsid w:val="005C6820"/>
    <w:rsid w:val="0061406C"/>
    <w:rsid w:val="007057E6"/>
    <w:rsid w:val="0086400F"/>
    <w:rsid w:val="00934E30"/>
    <w:rsid w:val="00A06440"/>
    <w:rsid w:val="00A63429"/>
    <w:rsid w:val="00CB5D05"/>
    <w:rsid w:val="00CD7A62"/>
    <w:rsid w:val="00D000BC"/>
    <w:rsid w:val="00D24CFE"/>
    <w:rsid w:val="00F43EED"/>
    <w:rsid w:val="00F56F68"/>
    <w:rsid w:val="00F6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F68"/>
    <w:rPr>
      <w:color w:val="808080"/>
    </w:rPr>
  </w:style>
  <w:style w:type="paragraph" w:customStyle="1" w:styleId="9A2E417AD4F644A69D05918DF58EAFC3">
    <w:name w:val="9A2E417AD4F644A69D05918DF58EAFC3"/>
    <w:rsid w:val="00D000BC"/>
  </w:style>
  <w:style w:type="paragraph" w:customStyle="1" w:styleId="9C68257EA24E4DF2A95CC4F2E571F746">
    <w:name w:val="9C68257EA24E4DF2A95CC4F2E571F746"/>
    <w:rsid w:val="00F56F68"/>
    <w:pPr>
      <w:spacing w:line="278" w:lineRule="auto"/>
    </w:pPr>
    <w:rPr>
      <w:kern w:val="2"/>
      <w:sz w:val="24"/>
      <w:szCs w:val="24"/>
      <w14:ligatures w14:val="standardContextual"/>
    </w:rPr>
  </w:style>
  <w:style w:type="paragraph" w:customStyle="1" w:styleId="E27D16D4AE2A4A6C900A2DF5701D4DA1">
    <w:name w:val="E27D16D4AE2A4A6C900A2DF5701D4DA1"/>
    <w:rsid w:val="00F56F68"/>
    <w:pPr>
      <w:spacing w:line="278" w:lineRule="auto"/>
    </w:pPr>
    <w:rPr>
      <w:kern w:val="2"/>
      <w:sz w:val="24"/>
      <w:szCs w:val="24"/>
      <w14:ligatures w14:val="standardContextual"/>
    </w:rPr>
  </w:style>
  <w:style w:type="paragraph" w:customStyle="1" w:styleId="20E30377B800482CBFCAD65800D02B50">
    <w:name w:val="20E30377B800482CBFCAD65800D02B50"/>
    <w:rsid w:val="00F56F68"/>
    <w:pPr>
      <w:spacing w:line="278" w:lineRule="auto"/>
    </w:pPr>
    <w:rPr>
      <w:kern w:val="2"/>
      <w:sz w:val="24"/>
      <w:szCs w:val="24"/>
      <w14:ligatures w14:val="standardContextual"/>
    </w:rPr>
  </w:style>
  <w:style w:type="paragraph" w:customStyle="1" w:styleId="647343969AAE40B1AF4982088292F903">
    <w:name w:val="647343969AAE40B1AF4982088292F903"/>
    <w:rsid w:val="00F56F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600</Words>
  <Characters>3340</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Microsoft Word - cross-connection.doc</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cross-connection.doc</dc:title>
  <dc:creator>kbattista</dc:creator>
  <cp:lastModifiedBy>Ryan Witt</cp:lastModifiedBy>
  <cp:revision>6</cp:revision>
  <dcterms:created xsi:type="dcterms:W3CDTF">2026-03-11T15:15:00Z</dcterms:created>
  <dcterms:modified xsi:type="dcterms:W3CDTF">2026-03-19T15:45:00Z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2009-06-09T00:00:00Z</vt:filetime>
  </property>
  <property fmtid="{D5CDD505-2E9C-101B-9397-08002B2CF9AE}" pid="3" name="Creator">
    <vt:lpwstr>PScript5.dll Version 5.2.2</vt:lpwstr>
  </property>
  <property fmtid="{D5CDD505-2E9C-101B-9397-08002B2CF9AE}" pid="4" name="LastSaved">
    <vt:filetime>2019-05-22T00:00:00Z</vt:filetime>
  </property>
</Properties>
</file>